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E" w:rsidRPr="00CB458C" w:rsidRDefault="002C04CE" w:rsidP="00EB2D8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E45560A" wp14:editId="05029FCB">
            <wp:simplePos x="0" y="0"/>
            <wp:positionH relativeFrom="column">
              <wp:posOffset>4594860</wp:posOffset>
            </wp:positionH>
            <wp:positionV relativeFrom="paragraph">
              <wp:posOffset>-175895</wp:posOffset>
            </wp:positionV>
            <wp:extent cx="2221230" cy="15303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22123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FE" w:rsidRPr="00CB458C">
        <w:rPr>
          <w:rFonts w:ascii="Times New Roman" w:hAnsi="Times New Roman" w:cs="Times New Roman"/>
          <w:b/>
          <w:sz w:val="28"/>
        </w:rPr>
        <w:t>Планируемые результаты освоения курса</w:t>
      </w:r>
      <w:r w:rsidR="008152CC">
        <w:rPr>
          <w:rFonts w:ascii="Times New Roman" w:hAnsi="Times New Roman" w:cs="Times New Roman"/>
          <w:b/>
          <w:sz w:val="28"/>
        </w:rPr>
        <w:t xml:space="preserve"> по выбору </w:t>
      </w:r>
      <w:proofErr w:type="gramStart"/>
      <w:r w:rsidR="008152CC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A73637" w:rsidRPr="00CB458C" w:rsidRDefault="008152CC" w:rsidP="00EB2D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«Финансовая грамотность»</w:t>
      </w:r>
      <w:r w:rsidR="004774AE" w:rsidRPr="00CB458C">
        <w:rPr>
          <w:rFonts w:ascii="Times New Roman" w:hAnsi="Times New Roman" w:cs="Times New Roman"/>
          <w:b/>
          <w:sz w:val="28"/>
        </w:rPr>
        <w:t xml:space="preserve"> в 1</w:t>
      </w:r>
      <w:r w:rsidR="00560A0C" w:rsidRPr="008C1183">
        <w:rPr>
          <w:rFonts w:ascii="Times New Roman" w:hAnsi="Times New Roman" w:cs="Times New Roman"/>
          <w:b/>
          <w:sz w:val="28"/>
        </w:rPr>
        <w:t>1</w:t>
      </w:r>
      <w:r w:rsidR="004774AE" w:rsidRPr="00CB458C">
        <w:rPr>
          <w:rFonts w:ascii="Times New Roman" w:hAnsi="Times New Roman" w:cs="Times New Roman"/>
          <w:b/>
          <w:sz w:val="28"/>
        </w:rPr>
        <w:t xml:space="preserve"> классе</w:t>
      </w:r>
    </w:p>
    <w:bookmarkEnd w:id="0"/>
    <w:p w:rsidR="008152CC" w:rsidRPr="008152CC" w:rsidRDefault="008152CC" w:rsidP="008152CC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 xml:space="preserve">Требования к </w:t>
      </w:r>
      <w:r w:rsidRPr="008152CC">
        <w:rPr>
          <w:rFonts w:ascii="Times New Roman" w:hAnsi="Times New Roman" w:cs="Times New Roman"/>
          <w:b/>
        </w:rPr>
        <w:t>личностным</w:t>
      </w:r>
      <w:r w:rsidRPr="008152CC">
        <w:rPr>
          <w:rFonts w:ascii="Times New Roman" w:hAnsi="Times New Roman" w:cs="Times New Roman"/>
        </w:rPr>
        <w:t xml:space="preserve"> результатам освоения курса: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понимание принципов функционирования финансовой системы современного государства;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понимание прав и обязанностей в сфере финансов.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Требования к интеллектуальным (</w:t>
      </w:r>
      <w:proofErr w:type="spellStart"/>
      <w:r w:rsidRPr="008152CC">
        <w:rPr>
          <w:rFonts w:ascii="Times New Roman" w:hAnsi="Times New Roman" w:cs="Times New Roman"/>
          <w:b/>
        </w:rPr>
        <w:t>ме</w:t>
      </w:r>
      <w:bookmarkStart w:id="1" w:name="_GoBack"/>
      <w:bookmarkEnd w:id="1"/>
      <w:r w:rsidRPr="008152CC">
        <w:rPr>
          <w:rFonts w:ascii="Times New Roman" w:hAnsi="Times New Roman" w:cs="Times New Roman"/>
          <w:b/>
        </w:rPr>
        <w:t>тапредметным</w:t>
      </w:r>
      <w:proofErr w:type="spellEnd"/>
      <w:r w:rsidRPr="008152CC">
        <w:rPr>
          <w:rFonts w:ascii="Times New Roman" w:hAnsi="Times New Roman" w:cs="Times New Roman"/>
        </w:rPr>
        <w:t>) результатам освоения курса: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владение умением решать практические финансовые задачи: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владение информацией финансового характера, своевременный анализ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и адаптация к собственным потребностям,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определение стратегических целей в области управления личными финансами;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постановка стратегических задач для достижения личных финансовых целей;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подбор альтернативных путей достижения поставленных целей и решения задач;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владение коммуникативными компетенциями: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нахождение источников информации для достижения поставленных целей и решения задач, коммуникативное взаимодействие с окружающими для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подбора информации и обмена ею;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анализ и интерпретация финансовой информации из различных источников.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 xml:space="preserve">Требования к </w:t>
      </w:r>
      <w:r w:rsidRPr="008152CC">
        <w:rPr>
          <w:rFonts w:ascii="Times New Roman" w:hAnsi="Times New Roman" w:cs="Times New Roman"/>
          <w:b/>
        </w:rPr>
        <w:t>предметным</w:t>
      </w:r>
      <w:r w:rsidRPr="008152CC">
        <w:rPr>
          <w:rFonts w:ascii="Times New Roman" w:hAnsi="Times New Roman" w:cs="Times New Roman"/>
        </w:rPr>
        <w:t xml:space="preserve"> результатам освоения курса: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владение основными понятиями и инструментами взаимодействия с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участниками финансовых отношений;</w:t>
      </w:r>
    </w:p>
    <w:p w:rsidR="00CB458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• владение основными принципами принятия оптимальных финансовых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решений в процессе своей жизнедеятельности.</w:t>
      </w:r>
    </w:p>
    <w:p w:rsidR="00FA0C14" w:rsidRDefault="00FA0C14" w:rsidP="00CB458C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CB458C">
        <w:rPr>
          <w:rFonts w:ascii="Times New Roman" w:hAnsi="Times New Roman" w:cs="Times New Roman"/>
          <w:b/>
          <w:sz w:val="28"/>
        </w:rPr>
        <w:t>Содержание курса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1. Банки: чем они могут быть вам полезны в жизни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152CC">
        <w:rPr>
          <w:rFonts w:ascii="Times New Roman" w:hAnsi="Times New Roman" w:cs="Times New Roman"/>
        </w:rPr>
        <w:t>Банковская система, коммерческий банк, депозит, система страхования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вкладов, кредит, кредитная история, процент, ипотека, кредитная карта, автокредитование, потребительское кредитование.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Понятие банковской системы, виды депозитов, порядок начисления простых и сложных процентов, порядок возмещения вкладов, основные параметры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депозита, виды кредитов, характеристики кредита, параметры выбора необходимого вида кредита.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2. Фондовый рынок: как его использовать для роста доходов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152CC">
        <w:rPr>
          <w:rFonts w:ascii="Times New Roman" w:hAnsi="Times New Roman" w:cs="Times New Roman"/>
        </w:rPr>
        <w:t>Фондовый рынок, ценная бумага, акция, облигация, вексель, пай, паевой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инвестиционный фонд, общий фонд банковского управления, брокер, дилер,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валюта, валютный курс, рынок FOREX.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Понятие фондового рынка, виды ценных бумаг, разновидности паевых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инвестиционных фондов, отличия паевых инвестиционных фондов от общих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фондов банковского управления, виды профессиональных участников ценных</w:t>
      </w:r>
      <w:r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бумаг, типы валютных сделок.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3. Налоги: почему их надо платить</w:t>
      </w:r>
      <w:r w:rsidR="00284278" w:rsidRPr="009B45C0">
        <w:rPr>
          <w:rFonts w:ascii="Times New Roman" w:hAnsi="Times New Roman" w:cs="Times New Roman"/>
          <w:b/>
        </w:rPr>
        <w:t xml:space="preserve"> </w:t>
      </w:r>
      <w:r w:rsidRPr="009B45C0">
        <w:rPr>
          <w:rFonts w:ascii="Times New Roman" w:hAnsi="Times New Roman" w:cs="Times New Roman"/>
          <w:b/>
        </w:rPr>
        <w:t>и чем грозит неуплата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152CC">
        <w:rPr>
          <w:rFonts w:ascii="Times New Roman" w:hAnsi="Times New Roman" w:cs="Times New Roman"/>
        </w:rPr>
        <w:t>Налоговая система, налоги, пошлины, сборы, ИНН, налоговый вычет,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пеня по налогам, налоговая декларация.</w:t>
      </w:r>
      <w:proofErr w:type="gramEnd"/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получения налоговых вычетов.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4. Страхование: что и как надо страховать,</w:t>
      </w:r>
      <w:r w:rsidR="00284278" w:rsidRPr="009B45C0">
        <w:rPr>
          <w:rFonts w:ascii="Times New Roman" w:hAnsi="Times New Roman" w:cs="Times New Roman"/>
          <w:b/>
        </w:rPr>
        <w:t xml:space="preserve"> </w:t>
      </w:r>
      <w:r w:rsidRPr="009B45C0">
        <w:rPr>
          <w:rFonts w:ascii="Times New Roman" w:hAnsi="Times New Roman" w:cs="Times New Roman"/>
          <w:b/>
        </w:rPr>
        <w:t>чтобы не попасть в беду</w:t>
      </w:r>
    </w:p>
    <w:p w:rsid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152CC">
        <w:rPr>
          <w:rFonts w:ascii="Times New Roman" w:hAnsi="Times New Roman" w:cs="Times New Roman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обязательное и добровольное страхование, франшиза, страховая сумма, страховая стоимость, страховая премия.</w:t>
      </w:r>
      <w:proofErr w:type="gramEnd"/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компании.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5. Собственный бизнес: как создать</w:t>
      </w:r>
      <w:r w:rsidR="00284278" w:rsidRPr="009B45C0">
        <w:rPr>
          <w:rFonts w:ascii="Times New Roman" w:hAnsi="Times New Roman" w:cs="Times New Roman"/>
          <w:b/>
        </w:rPr>
        <w:t xml:space="preserve"> </w:t>
      </w:r>
      <w:r w:rsidRPr="009B45C0">
        <w:rPr>
          <w:rFonts w:ascii="Times New Roman" w:hAnsi="Times New Roman" w:cs="Times New Roman"/>
          <w:b/>
        </w:rPr>
        <w:t>и не потерять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152CC">
        <w:rPr>
          <w:rFonts w:ascii="Times New Roman" w:hAnsi="Times New Roman" w:cs="Times New Roman"/>
        </w:rPr>
        <w:t>Бизнес, уставный капитал, привлечённый капитал, бизнес-план, доходы,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расходы, прибыль, бухгалтерский учёт, маркетинг, менеджмент, налоги, риски,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малый и средний бизнес.</w:t>
      </w:r>
      <w:proofErr w:type="gramEnd"/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Понятие малого и среднего бизнеса, порядок формирования уставного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 xml:space="preserve">капитала, структура доходов и </w:t>
      </w:r>
      <w:r w:rsidRPr="008152CC">
        <w:rPr>
          <w:rFonts w:ascii="Times New Roman" w:hAnsi="Times New Roman" w:cs="Times New Roman"/>
        </w:rPr>
        <w:lastRenderedPageBreak/>
        <w:t>расходов, порядок расчёта прибыли, необходимость и назначение бухгалтерского учёта, функции маркетинга и менеджмента в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работе предприятия, порядок расчёта и уплаты налогов в малом и среднем бизнесе, определение рисков и их снижение.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6. Риски в мире денег: как защититься от разорения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152CC">
        <w:rPr>
          <w:rFonts w:ascii="Times New Roman" w:hAnsi="Times New Roman" w:cs="Times New Roman"/>
        </w:rPr>
        <w:t>Инвестиции, инвестирование, инвестиционный портфель, стратегия инвестирования, инвестиционный инструмент, диверсификация инвестиционного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 xml:space="preserve">портфеля, финансовый риск, доходность, срок инвестирования, сумма инвестирования, финансовая пирамида, </w:t>
      </w:r>
      <w:proofErr w:type="spellStart"/>
      <w:r w:rsidRPr="008152CC">
        <w:rPr>
          <w:rFonts w:ascii="Times New Roman" w:hAnsi="Times New Roman" w:cs="Times New Roman"/>
        </w:rPr>
        <w:t>Хайп</w:t>
      </w:r>
      <w:proofErr w:type="spellEnd"/>
      <w:r w:rsidRPr="008152CC">
        <w:rPr>
          <w:rFonts w:ascii="Times New Roman" w:hAnsi="Times New Roman" w:cs="Times New Roman"/>
        </w:rPr>
        <w:t xml:space="preserve">, </w:t>
      </w:r>
      <w:proofErr w:type="spellStart"/>
      <w:r w:rsidRPr="008152CC">
        <w:rPr>
          <w:rFonts w:ascii="Times New Roman" w:hAnsi="Times New Roman" w:cs="Times New Roman"/>
        </w:rPr>
        <w:t>фишинг</w:t>
      </w:r>
      <w:proofErr w:type="spellEnd"/>
      <w:r w:rsidRPr="008152CC">
        <w:rPr>
          <w:rFonts w:ascii="Times New Roman" w:hAnsi="Times New Roman" w:cs="Times New Roman"/>
        </w:rPr>
        <w:t xml:space="preserve">, </w:t>
      </w:r>
      <w:proofErr w:type="spellStart"/>
      <w:r w:rsidRPr="008152CC">
        <w:rPr>
          <w:rFonts w:ascii="Times New Roman" w:hAnsi="Times New Roman" w:cs="Times New Roman"/>
        </w:rPr>
        <w:t>фарминг</w:t>
      </w:r>
      <w:proofErr w:type="spellEnd"/>
      <w:r w:rsidRPr="008152CC">
        <w:rPr>
          <w:rFonts w:ascii="Times New Roman" w:hAnsi="Times New Roman" w:cs="Times New Roman"/>
        </w:rPr>
        <w:t>.</w:t>
      </w:r>
      <w:proofErr w:type="gramEnd"/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Виды рисков при осуществлении финансовых операций, способы защиты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от финансовых мошенничеств, знания о признаках финансовой пирамиды.</w:t>
      </w:r>
      <w:r w:rsidR="00284278">
        <w:rPr>
          <w:rFonts w:ascii="Times New Roman" w:hAnsi="Times New Roman" w:cs="Times New Roman"/>
        </w:rPr>
        <w:t xml:space="preserve"> </w:t>
      </w:r>
    </w:p>
    <w:p w:rsidR="008152CC" w:rsidRPr="009B45C0" w:rsidRDefault="008152CC" w:rsidP="008152CC">
      <w:pPr>
        <w:ind w:firstLine="426"/>
        <w:jc w:val="both"/>
        <w:rPr>
          <w:rFonts w:ascii="Times New Roman" w:hAnsi="Times New Roman" w:cs="Times New Roman"/>
          <w:b/>
        </w:rPr>
      </w:pPr>
      <w:r w:rsidRPr="009B45C0">
        <w:rPr>
          <w:rFonts w:ascii="Times New Roman" w:hAnsi="Times New Roman" w:cs="Times New Roman"/>
          <w:b/>
        </w:rPr>
        <w:t>Модуль 7. Обеспеченная старость: возможности пенсионного</w:t>
      </w:r>
      <w:r w:rsidR="00284278" w:rsidRPr="009B45C0">
        <w:rPr>
          <w:rFonts w:ascii="Times New Roman" w:hAnsi="Times New Roman" w:cs="Times New Roman"/>
          <w:b/>
        </w:rPr>
        <w:t xml:space="preserve"> </w:t>
      </w:r>
      <w:r w:rsidRPr="009B45C0">
        <w:rPr>
          <w:rFonts w:ascii="Times New Roman" w:hAnsi="Times New Roman" w:cs="Times New Roman"/>
          <w:b/>
        </w:rPr>
        <w:t>накопления</w:t>
      </w:r>
    </w:p>
    <w:p w:rsidR="008152CC" w:rsidRPr="008152CC" w:rsidRDefault="008152CC" w:rsidP="008152CC">
      <w:pPr>
        <w:ind w:firstLine="426"/>
        <w:jc w:val="both"/>
        <w:rPr>
          <w:rFonts w:ascii="Times New Roman" w:hAnsi="Times New Roman" w:cs="Times New Roman"/>
        </w:rPr>
      </w:pPr>
      <w:r w:rsidRPr="008152CC">
        <w:rPr>
          <w:rFonts w:ascii="Times New Roman" w:hAnsi="Times New Roman" w:cs="Times New Roman"/>
        </w:rPr>
        <w:t>Пенсия, пенсионная система, пенсионный фонд, управляющая компания,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негосударственное пенсионное обеспечение.</w:t>
      </w:r>
      <w:r w:rsidR="00284278">
        <w:rPr>
          <w:rFonts w:ascii="Times New Roman" w:hAnsi="Times New Roman" w:cs="Times New Roman"/>
        </w:rPr>
        <w:t xml:space="preserve"> </w:t>
      </w:r>
      <w:r w:rsidRPr="008152CC">
        <w:rPr>
          <w:rFonts w:ascii="Times New Roman" w:hAnsi="Times New Roman" w:cs="Times New Roman"/>
        </w:rPr>
        <w:t>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8152CC" w:rsidRPr="00CB458C" w:rsidRDefault="008152CC" w:rsidP="00CB458C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BB04F9" w:rsidRPr="00CB458C" w:rsidRDefault="00BB04F9" w:rsidP="00CB458C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Theme="minorEastAsia" w:hAnsi="Times New Roman" w:cs="Times New Roman"/>
          <w:b/>
          <w:sz w:val="28"/>
          <w:lang w:bidi="ar-SA"/>
        </w:rPr>
      </w:pPr>
      <w:r w:rsidRPr="00CB458C">
        <w:rPr>
          <w:rFonts w:ascii="Times New Roman" w:eastAsiaTheme="minorEastAsia" w:hAnsi="Times New Roman" w:cs="Times New Roman"/>
          <w:b/>
          <w:sz w:val="28"/>
          <w:lang w:bidi="ar-SA"/>
        </w:rPr>
        <w:t>Тематическое планирование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BB04F9" w:rsidRPr="00284278" w:rsidTr="00000ECA">
        <w:tc>
          <w:tcPr>
            <w:tcW w:w="7338" w:type="dxa"/>
          </w:tcPr>
          <w:p w:rsidR="00BB04F9" w:rsidRPr="00284278" w:rsidRDefault="00BB04F9" w:rsidP="00EB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B04F9" w:rsidRPr="00284278" w:rsidRDefault="00BB04F9" w:rsidP="00EB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4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211253" w:rsidRPr="00284278" w:rsidTr="00BD4B0D">
        <w:tc>
          <w:tcPr>
            <w:tcW w:w="7338" w:type="dxa"/>
            <w:vAlign w:val="center"/>
          </w:tcPr>
          <w:p w:rsidR="00211253" w:rsidRPr="00284278" w:rsidRDefault="008152CC" w:rsidP="00EB2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Банки: чем они </w:t>
            </w:r>
            <w:r w:rsidR="00284278" w:rsidRPr="00284278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быть вам полезны в жизни</w:t>
            </w:r>
          </w:p>
        </w:tc>
        <w:tc>
          <w:tcPr>
            <w:tcW w:w="3118" w:type="dxa"/>
            <w:vAlign w:val="center"/>
          </w:tcPr>
          <w:p w:rsidR="00211253" w:rsidRPr="00284278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1253" w:rsidRPr="00284278" w:rsidTr="00BD4B0D">
        <w:tc>
          <w:tcPr>
            <w:tcW w:w="7338" w:type="dxa"/>
            <w:vAlign w:val="center"/>
          </w:tcPr>
          <w:p w:rsidR="008152CC" w:rsidRPr="00284278" w:rsidRDefault="008152CC" w:rsidP="008152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Модуль 2. Фондовый рынок: как его использовать для роста</w:t>
            </w:r>
          </w:p>
          <w:p w:rsidR="00211253" w:rsidRPr="00284278" w:rsidRDefault="00284278" w:rsidP="008152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доходов</w:t>
            </w:r>
          </w:p>
        </w:tc>
        <w:tc>
          <w:tcPr>
            <w:tcW w:w="3118" w:type="dxa"/>
            <w:vAlign w:val="center"/>
          </w:tcPr>
          <w:p w:rsidR="00211253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284278" w:rsidRPr="00284278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1253" w:rsidRPr="00284278" w:rsidTr="00BD4B0D">
        <w:tc>
          <w:tcPr>
            <w:tcW w:w="7338" w:type="dxa"/>
            <w:vAlign w:val="center"/>
          </w:tcPr>
          <w:p w:rsidR="00211253" w:rsidRPr="00284278" w:rsidRDefault="008152CC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Модуль 3. Налоги: почему их надо</w:t>
            </w:r>
            <w:r w:rsidR="00284278"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платить и чем грозит неуплата</w:t>
            </w:r>
          </w:p>
        </w:tc>
        <w:tc>
          <w:tcPr>
            <w:tcW w:w="3118" w:type="dxa"/>
            <w:vAlign w:val="center"/>
          </w:tcPr>
          <w:p w:rsidR="00211253" w:rsidRPr="00983078" w:rsidRDefault="009830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8152CC" w:rsidRPr="00284278" w:rsidTr="00BD4B0D">
        <w:tc>
          <w:tcPr>
            <w:tcW w:w="7338" w:type="dxa"/>
            <w:vAlign w:val="center"/>
          </w:tcPr>
          <w:p w:rsidR="008152CC" w:rsidRPr="00284278" w:rsidRDefault="008152CC" w:rsidP="008152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Модуль 4. Страхование: что и как надо страховать, чтобы</w:t>
            </w:r>
          </w:p>
          <w:p w:rsidR="008152CC" w:rsidRPr="00284278" w:rsidRDefault="00284278" w:rsidP="008152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попасть в беду</w:t>
            </w:r>
          </w:p>
        </w:tc>
        <w:tc>
          <w:tcPr>
            <w:tcW w:w="3118" w:type="dxa"/>
            <w:vAlign w:val="center"/>
          </w:tcPr>
          <w:p w:rsidR="008152CC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284278" w:rsidRPr="00284278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52CC" w:rsidRPr="00284278" w:rsidTr="00BD4B0D">
        <w:tc>
          <w:tcPr>
            <w:tcW w:w="7338" w:type="dxa"/>
            <w:vAlign w:val="center"/>
          </w:tcPr>
          <w:p w:rsidR="008152CC" w:rsidRPr="00284278" w:rsidRDefault="008152CC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Модуль 5. Собственный бизн</w:t>
            </w:r>
            <w:r w:rsidR="00284278"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ес: как создать и не потерять</w:t>
            </w:r>
          </w:p>
        </w:tc>
        <w:tc>
          <w:tcPr>
            <w:tcW w:w="3118" w:type="dxa"/>
            <w:vAlign w:val="center"/>
          </w:tcPr>
          <w:p w:rsidR="008152CC" w:rsidRPr="00284278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152CC" w:rsidRPr="00284278" w:rsidTr="00BD4B0D">
        <w:tc>
          <w:tcPr>
            <w:tcW w:w="7338" w:type="dxa"/>
            <w:vAlign w:val="center"/>
          </w:tcPr>
          <w:p w:rsidR="008152CC" w:rsidRPr="00284278" w:rsidRDefault="008152CC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Модуль 6. Риски в мире дене</w:t>
            </w:r>
            <w:r w:rsidR="00284278"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г: как защититься от разорения </w:t>
            </w:r>
          </w:p>
        </w:tc>
        <w:tc>
          <w:tcPr>
            <w:tcW w:w="3118" w:type="dxa"/>
            <w:vAlign w:val="center"/>
          </w:tcPr>
          <w:p w:rsidR="008152CC" w:rsidRPr="00284278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8152CC" w:rsidRPr="00284278" w:rsidTr="00BD4B0D">
        <w:tc>
          <w:tcPr>
            <w:tcW w:w="7338" w:type="dxa"/>
            <w:vAlign w:val="center"/>
          </w:tcPr>
          <w:p w:rsidR="008152CC" w:rsidRPr="00284278" w:rsidRDefault="008152CC" w:rsidP="008152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Модуль 7. Обеспеченная старость: возможности </w:t>
            </w:r>
            <w:proofErr w:type="gramStart"/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пенсионного</w:t>
            </w:r>
            <w:proofErr w:type="gramEnd"/>
          </w:p>
          <w:p w:rsidR="008152CC" w:rsidRPr="00284278" w:rsidRDefault="00284278" w:rsidP="008152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накопления</w:t>
            </w:r>
          </w:p>
        </w:tc>
        <w:tc>
          <w:tcPr>
            <w:tcW w:w="3118" w:type="dxa"/>
            <w:vAlign w:val="center"/>
          </w:tcPr>
          <w:p w:rsidR="008152CC" w:rsidRPr="00B56043" w:rsidRDefault="00B56043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284278" w:rsidRPr="00284278" w:rsidRDefault="002842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3078" w:rsidRPr="00284278" w:rsidTr="00B418BE">
        <w:tc>
          <w:tcPr>
            <w:tcW w:w="7338" w:type="dxa"/>
          </w:tcPr>
          <w:p w:rsidR="00983078" w:rsidRPr="009B45C0" w:rsidRDefault="00983078" w:rsidP="001145DE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Промежуточная аттестация (тестовая работа)</w:t>
            </w:r>
          </w:p>
        </w:tc>
        <w:tc>
          <w:tcPr>
            <w:tcW w:w="3118" w:type="dxa"/>
            <w:vAlign w:val="center"/>
          </w:tcPr>
          <w:p w:rsidR="00983078" w:rsidRPr="00983078" w:rsidRDefault="009830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983078" w:rsidRPr="00284278" w:rsidTr="00BD4B0D">
        <w:tc>
          <w:tcPr>
            <w:tcW w:w="7338" w:type="dxa"/>
            <w:vAlign w:val="center"/>
          </w:tcPr>
          <w:p w:rsidR="00983078" w:rsidRPr="00284278" w:rsidRDefault="00983078" w:rsidP="00CB458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2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983078" w:rsidRPr="00B56043" w:rsidRDefault="00983078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560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9B45C0" w:rsidRDefault="00BB04F9" w:rsidP="009B45C0">
      <w:pPr>
        <w:pageBreakBefore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2D8E">
        <w:rPr>
          <w:rFonts w:ascii="Times New Roman" w:eastAsia="Times New Roman" w:hAnsi="Times New Roman" w:cs="Times New Roman"/>
          <w:b/>
          <w:color w:val="auto"/>
          <w:lang w:bidi="ar-SA"/>
        </w:rPr>
        <w:t>Календарно - тематическое планирование</w:t>
      </w:r>
    </w:p>
    <w:p w:rsidR="00BB04F9" w:rsidRPr="00F52116" w:rsidRDefault="00BB04F9" w:rsidP="009B45C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B2D8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9B45C0">
        <w:rPr>
          <w:rFonts w:ascii="Times New Roman" w:eastAsia="Times New Roman" w:hAnsi="Times New Roman" w:cs="Times New Roman"/>
          <w:b/>
          <w:color w:val="auto"/>
          <w:lang w:bidi="ar-SA"/>
        </w:rPr>
        <w:t>курса по выбору «Финансовая грамотность»</w:t>
      </w:r>
    </w:p>
    <w:p w:rsidR="00BB04F9" w:rsidRPr="00EB2D8E" w:rsidRDefault="001222C2" w:rsidP="00F5211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B2D8E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="00560A0C">
        <w:rPr>
          <w:rFonts w:ascii="Times New Roman" w:eastAsia="Times New Roman" w:hAnsi="Times New Roman" w:cs="Times New Roman"/>
          <w:b/>
          <w:color w:val="auto"/>
          <w:lang w:val="en-US" w:bidi="ar-SA"/>
        </w:rPr>
        <w:t>1</w:t>
      </w:r>
      <w:r w:rsidR="00BB04F9" w:rsidRPr="00EB2D8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класс</w:t>
      </w:r>
    </w:p>
    <w:tbl>
      <w:tblPr>
        <w:tblW w:w="10870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515"/>
        <w:gridCol w:w="992"/>
        <w:gridCol w:w="1055"/>
        <w:gridCol w:w="1624"/>
      </w:tblGrid>
      <w:tr w:rsidR="00BB04F9" w:rsidRPr="00EB2D8E" w:rsidTr="00B56043">
        <w:trPr>
          <w:trHeight w:val="1097"/>
          <w:jc w:val="center"/>
        </w:trPr>
        <w:tc>
          <w:tcPr>
            <w:tcW w:w="684" w:type="dxa"/>
            <w:shd w:val="clear" w:color="auto" w:fill="auto"/>
            <w:vAlign w:val="center"/>
          </w:tcPr>
          <w:p w:rsidR="00BB04F9" w:rsidRPr="00EB2D8E" w:rsidRDefault="00BB04F9" w:rsidP="002C04C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2D8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урока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B04F9" w:rsidRPr="00EB2D8E" w:rsidRDefault="00BB04F9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2D8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раздела и темы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BB04F9" w:rsidRPr="00EB2D8E" w:rsidRDefault="00BB04F9" w:rsidP="002C04C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2D8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 проведения по плану/ факт.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B04F9" w:rsidRPr="00EB2D8E" w:rsidRDefault="00BB04F9" w:rsidP="002C04C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2D8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Примечание</w:t>
            </w:r>
          </w:p>
          <w:p w:rsidR="00BB04F9" w:rsidRPr="00EB2D8E" w:rsidRDefault="00BB04F9" w:rsidP="002C04C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B2D8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(описание причин</w:t>
            </w:r>
            <w:r w:rsidRPr="00EB2D8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B2D8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корректировки дат)</w:t>
            </w:r>
          </w:p>
        </w:tc>
      </w:tr>
      <w:tr w:rsidR="00BB04F9" w:rsidRPr="00EB2D8E" w:rsidTr="00B56043">
        <w:trPr>
          <w:trHeight w:val="284"/>
          <w:jc w:val="center"/>
        </w:trPr>
        <w:tc>
          <w:tcPr>
            <w:tcW w:w="684" w:type="dxa"/>
            <w:shd w:val="clear" w:color="auto" w:fill="auto"/>
          </w:tcPr>
          <w:p w:rsidR="00BB04F9" w:rsidRPr="00EB2D8E" w:rsidRDefault="00BB04F9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BB04F9" w:rsidRPr="00EB2D8E" w:rsidRDefault="008152CC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Банковская система </w:t>
            </w:r>
          </w:p>
        </w:tc>
        <w:tc>
          <w:tcPr>
            <w:tcW w:w="992" w:type="dxa"/>
            <w:shd w:val="clear" w:color="auto" w:fill="auto"/>
          </w:tcPr>
          <w:p w:rsidR="00BB04F9" w:rsidRPr="009B45C0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</w:t>
            </w:r>
            <w:r w:rsidR="00B5604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.09</w:t>
            </w:r>
          </w:p>
        </w:tc>
        <w:tc>
          <w:tcPr>
            <w:tcW w:w="1055" w:type="dxa"/>
            <w:shd w:val="clear" w:color="auto" w:fill="auto"/>
          </w:tcPr>
          <w:p w:rsidR="00BB04F9" w:rsidRPr="00EB2D8E" w:rsidRDefault="00BB04F9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BB04F9" w:rsidRPr="00EB2D8E" w:rsidRDefault="00BB04F9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264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Как сберечь деньги с помощью депозитов</w:t>
            </w:r>
          </w:p>
        </w:tc>
        <w:tc>
          <w:tcPr>
            <w:tcW w:w="992" w:type="dxa"/>
            <w:shd w:val="clear" w:color="auto" w:fill="auto"/>
          </w:tcPr>
          <w:p w:rsidR="00284278" w:rsidRPr="00F52116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  <w:r w:rsidR="00B5604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.09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460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Банки и золото: как сохранить сбережения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в драгоценных металлах</w:t>
            </w:r>
          </w:p>
        </w:tc>
        <w:tc>
          <w:tcPr>
            <w:tcW w:w="992" w:type="dxa"/>
            <w:shd w:val="clear" w:color="auto" w:fill="auto"/>
          </w:tcPr>
          <w:p w:rsidR="00284278" w:rsidRPr="009B45C0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="00B5604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.09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311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Кредит: зачем он нужен и где его </w:t>
            </w:r>
            <w:proofErr w:type="gramStart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получить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84278" w:rsidRPr="00F52116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  <w:r w:rsidR="00B56043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.09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290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Какой </w:t>
            </w:r>
            <w:proofErr w:type="gramStart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кредит</w:t>
            </w:r>
            <w:proofErr w:type="gramEnd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выбрать и </w:t>
            </w:r>
            <w:proofErr w:type="gramStart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какие</w:t>
            </w:r>
            <w:proofErr w:type="gramEnd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условия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кредитования предпочесть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02.10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52CC" w:rsidRPr="00EB2D8E" w:rsidTr="00B56043">
        <w:trPr>
          <w:trHeight w:val="299"/>
          <w:jc w:val="center"/>
        </w:trPr>
        <w:tc>
          <w:tcPr>
            <w:tcW w:w="684" w:type="dxa"/>
            <w:shd w:val="clear" w:color="auto" w:fill="auto"/>
          </w:tcPr>
          <w:p w:rsidR="008152CC" w:rsidRPr="00EB2D8E" w:rsidRDefault="008152CC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152CC" w:rsidRPr="008152CC" w:rsidRDefault="008152CC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Что такое ценные </w:t>
            </w:r>
            <w:proofErr w:type="gramStart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бумаги</w:t>
            </w:r>
            <w:proofErr w:type="gramEnd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и </w:t>
            </w:r>
            <w:proofErr w:type="gramStart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какие</w:t>
            </w:r>
            <w:proofErr w:type="gramEnd"/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они бывают </w:t>
            </w:r>
          </w:p>
        </w:tc>
        <w:tc>
          <w:tcPr>
            <w:tcW w:w="992" w:type="dxa"/>
            <w:shd w:val="clear" w:color="auto" w:fill="auto"/>
          </w:tcPr>
          <w:p w:rsidR="008152CC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09.10</w:t>
            </w:r>
          </w:p>
        </w:tc>
        <w:tc>
          <w:tcPr>
            <w:tcW w:w="1055" w:type="dxa"/>
            <w:shd w:val="clear" w:color="auto" w:fill="auto"/>
          </w:tcPr>
          <w:p w:rsidR="008152CC" w:rsidRPr="00EB2D8E" w:rsidRDefault="008152CC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152CC" w:rsidRPr="00EB2D8E" w:rsidRDefault="008152CC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219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Профессиональные участники рынка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ценных бумаг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16.10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288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Граждане на рынке ценных бумаг 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23.10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518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Зачем нужны паевые инвестиционные фонды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и общие фонды банковского управления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13.11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253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Операции на валютном рынке: риски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и возможности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20.11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52CC" w:rsidRPr="00EB2D8E" w:rsidTr="00B56043">
        <w:trPr>
          <w:trHeight w:val="297"/>
          <w:jc w:val="center"/>
        </w:trPr>
        <w:tc>
          <w:tcPr>
            <w:tcW w:w="684" w:type="dxa"/>
            <w:shd w:val="clear" w:color="auto" w:fill="auto"/>
          </w:tcPr>
          <w:p w:rsidR="008152CC" w:rsidRPr="00EB2D8E" w:rsidRDefault="008152CC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152CC" w:rsidRPr="008152CC" w:rsidRDefault="008152CC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Что такое налоги и почему их нужно платить </w:t>
            </w:r>
          </w:p>
        </w:tc>
        <w:tc>
          <w:tcPr>
            <w:tcW w:w="992" w:type="dxa"/>
            <w:shd w:val="clear" w:color="auto" w:fill="auto"/>
          </w:tcPr>
          <w:p w:rsidR="008152CC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27.11</w:t>
            </w:r>
          </w:p>
        </w:tc>
        <w:tc>
          <w:tcPr>
            <w:tcW w:w="1055" w:type="dxa"/>
            <w:shd w:val="clear" w:color="auto" w:fill="auto"/>
          </w:tcPr>
          <w:p w:rsidR="008152CC" w:rsidRPr="00EB2D8E" w:rsidRDefault="008152CC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152CC" w:rsidRPr="00EB2D8E" w:rsidRDefault="008152CC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276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Основы налогообложения граждан 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04.12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541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Налоговые вычеты, или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к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ак вернуть налоги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в семейный бюджет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11.12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152CC" w:rsidRPr="00EB2D8E" w:rsidTr="00B56043">
        <w:trPr>
          <w:trHeight w:val="330"/>
          <w:jc w:val="center"/>
        </w:trPr>
        <w:tc>
          <w:tcPr>
            <w:tcW w:w="684" w:type="dxa"/>
            <w:shd w:val="clear" w:color="auto" w:fill="auto"/>
          </w:tcPr>
          <w:p w:rsidR="008152CC" w:rsidRPr="00EB2D8E" w:rsidRDefault="008152CC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152CC" w:rsidRPr="008152CC" w:rsidRDefault="008152CC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Страховой рынок России: коротко о главном </w:t>
            </w:r>
          </w:p>
        </w:tc>
        <w:tc>
          <w:tcPr>
            <w:tcW w:w="992" w:type="dxa"/>
            <w:shd w:val="clear" w:color="auto" w:fill="auto"/>
          </w:tcPr>
          <w:p w:rsidR="008152CC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18.12</w:t>
            </w:r>
          </w:p>
        </w:tc>
        <w:tc>
          <w:tcPr>
            <w:tcW w:w="1055" w:type="dxa"/>
            <w:shd w:val="clear" w:color="auto" w:fill="auto"/>
          </w:tcPr>
          <w:p w:rsidR="008152CC" w:rsidRPr="00EB2D8E" w:rsidRDefault="008152CC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152CC" w:rsidRPr="00EB2D8E" w:rsidRDefault="008152CC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541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Имущественное страхование: как защитить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нажитое состояние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25.12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4278" w:rsidRPr="00EB2D8E" w:rsidTr="00B56043">
        <w:trPr>
          <w:trHeight w:val="518"/>
          <w:jc w:val="center"/>
        </w:trPr>
        <w:tc>
          <w:tcPr>
            <w:tcW w:w="684" w:type="dxa"/>
            <w:shd w:val="clear" w:color="auto" w:fill="auto"/>
          </w:tcPr>
          <w:p w:rsidR="00284278" w:rsidRPr="00EB2D8E" w:rsidRDefault="00284278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84278" w:rsidRPr="008152CC" w:rsidRDefault="00284278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Здоровье и жизнь — высшие блага: поговорим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о личном страховании</w:t>
            </w:r>
          </w:p>
        </w:tc>
        <w:tc>
          <w:tcPr>
            <w:tcW w:w="992" w:type="dxa"/>
            <w:shd w:val="clear" w:color="auto" w:fill="auto"/>
          </w:tcPr>
          <w:p w:rsidR="00284278" w:rsidRPr="008C1183" w:rsidRDefault="008C1183" w:rsidP="008C118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15.01</w:t>
            </w:r>
          </w:p>
        </w:tc>
        <w:tc>
          <w:tcPr>
            <w:tcW w:w="1055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84278" w:rsidRPr="00EB2D8E" w:rsidRDefault="00284278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135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Если нанесён ущерб третьим лицам 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22.01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322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Доверяй, но проверяй, или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н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есколько советов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по выбору страховщика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29.01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146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Создание собственного бизнеса: что и как надо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сделать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05.02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137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Пишем бизнес-план 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12.02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141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Расходы и доходы в собственном бизнесе 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19.02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131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Налогообложение малого и среднего бизнеса 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26.02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419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С какими финансовыми рисками может встретиться бизнесмен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04.03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270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Финансовые риски и стратегии инвестирования 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11.03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491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Финансовая пирамида, или к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ак не попасть в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сети мошенников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18.03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56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Виды финансовых пирамид 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01.04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276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Виртуальные ловушки, или к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ак не потерять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деньги при работе в сети Интернет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08.04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181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Сюжетно-ролевая обучающая игра. Ток-шоу «Все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слышат»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15.04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C04CE" w:rsidRPr="00EB2D8E" w:rsidTr="00B56043">
        <w:trPr>
          <w:trHeight w:val="56"/>
          <w:jc w:val="center"/>
        </w:trPr>
        <w:tc>
          <w:tcPr>
            <w:tcW w:w="684" w:type="dxa"/>
            <w:shd w:val="clear" w:color="auto" w:fill="auto"/>
          </w:tcPr>
          <w:p w:rsidR="002C04CE" w:rsidRPr="00EB2D8E" w:rsidRDefault="002C04CE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2C04CE" w:rsidRPr="008152CC" w:rsidRDefault="002C04CE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Думай о пенсии смолоду, или к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ак формируется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пенсия</w:t>
            </w:r>
            <w:proofErr w:type="gramStart"/>
            <w:r w:rsidR="008C1183"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="008C1183"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</w:t>
            </w:r>
            <w:proofErr w:type="gramEnd"/>
            <w:r w:rsidR="008C1183"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ак распорядиться своими пенсионными</w:t>
            </w:r>
            <w:r w:rsidR="008C1183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="008C1183"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накоплениями</w:t>
            </w:r>
          </w:p>
        </w:tc>
        <w:tc>
          <w:tcPr>
            <w:tcW w:w="992" w:type="dxa"/>
            <w:shd w:val="clear" w:color="auto" w:fill="auto"/>
          </w:tcPr>
          <w:p w:rsidR="002C04CE" w:rsidRP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22.04</w:t>
            </w:r>
          </w:p>
        </w:tc>
        <w:tc>
          <w:tcPr>
            <w:tcW w:w="1055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2C04CE" w:rsidRPr="00EB2D8E" w:rsidRDefault="002C04CE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C1183" w:rsidRPr="00EB2D8E" w:rsidTr="00B56043">
        <w:trPr>
          <w:trHeight w:val="56"/>
          <w:jc w:val="center"/>
        </w:trPr>
        <w:tc>
          <w:tcPr>
            <w:tcW w:w="684" w:type="dxa"/>
            <w:shd w:val="clear" w:color="auto" w:fill="auto"/>
          </w:tcPr>
          <w:p w:rsidR="008C1183" w:rsidRPr="00EB2D8E" w:rsidRDefault="008C1183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C1183" w:rsidRDefault="008C1183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Как выбрать негосударственный пенсионный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фонд</w:t>
            </w:r>
          </w:p>
        </w:tc>
        <w:tc>
          <w:tcPr>
            <w:tcW w:w="992" w:type="dxa"/>
            <w:shd w:val="clear" w:color="auto" w:fill="auto"/>
          </w:tcPr>
          <w:p w:rsidR="008C1183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27.04</w:t>
            </w:r>
          </w:p>
        </w:tc>
        <w:tc>
          <w:tcPr>
            <w:tcW w:w="1055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C1183" w:rsidRPr="00EB2D8E" w:rsidTr="00B56043">
        <w:trPr>
          <w:trHeight w:val="56"/>
          <w:jc w:val="center"/>
        </w:trPr>
        <w:tc>
          <w:tcPr>
            <w:tcW w:w="684" w:type="dxa"/>
            <w:shd w:val="clear" w:color="auto" w:fill="auto"/>
          </w:tcPr>
          <w:p w:rsidR="008C1183" w:rsidRPr="00EB2D8E" w:rsidRDefault="008C1183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C1183" w:rsidRDefault="008C1183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152CC">
              <w:rPr>
                <w:rFonts w:ascii="Times New Roman" w:eastAsia="Calibri" w:hAnsi="Times New Roman" w:cs="Times New Roman"/>
                <w:color w:val="auto"/>
                <w:lang w:bidi="ar-SA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992" w:type="dxa"/>
            <w:shd w:val="clear" w:color="auto" w:fill="auto"/>
          </w:tcPr>
          <w:p w:rsidR="008C1183" w:rsidRPr="008C1183" w:rsidRDefault="008C1183" w:rsidP="00957D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06.05</w:t>
            </w:r>
          </w:p>
        </w:tc>
        <w:tc>
          <w:tcPr>
            <w:tcW w:w="1055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C1183" w:rsidRPr="00EB2D8E" w:rsidTr="00B56043">
        <w:trPr>
          <w:trHeight w:val="145"/>
          <w:jc w:val="center"/>
        </w:trPr>
        <w:tc>
          <w:tcPr>
            <w:tcW w:w="684" w:type="dxa"/>
            <w:shd w:val="clear" w:color="auto" w:fill="auto"/>
          </w:tcPr>
          <w:p w:rsidR="008C1183" w:rsidRPr="00EB2D8E" w:rsidRDefault="008C1183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C1183" w:rsidRPr="009B45C0" w:rsidRDefault="008C1183" w:rsidP="002C04C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Промежуточная аттестация (тестовая работа)</w:t>
            </w:r>
          </w:p>
        </w:tc>
        <w:tc>
          <w:tcPr>
            <w:tcW w:w="992" w:type="dxa"/>
            <w:shd w:val="clear" w:color="auto" w:fill="auto"/>
          </w:tcPr>
          <w:p w:rsidR="008C1183" w:rsidRPr="008C1183" w:rsidRDefault="008C1183" w:rsidP="00FA73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13.05</w:t>
            </w:r>
          </w:p>
        </w:tc>
        <w:tc>
          <w:tcPr>
            <w:tcW w:w="1055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C1183" w:rsidRPr="00EB2D8E" w:rsidTr="00B56043">
        <w:trPr>
          <w:trHeight w:val="148"/>
          <w:jc w:val="center"/>
        </w:trPr>
        <w:tc>
          <w:tcPr>
            <w:tcW w:w="684" w:type="dxa"/>
            <w:shd w:val="clear" w:color="auto" w:fill="auto"/>
          </w:tcPr>
          <w:p w:rsidR="008C1183" w:rsidRPr="00EB2D8E" w:rsidRDefault="008C1183" w:rsidP="002C04C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15" w:type="dxa"/>
            <w:shd w:val="clear" w:color="auto" w:fill="auto"/>
          </w:tcPr>
          <w:p w:rsidR="008C1183" w:rsidRPr="008152CC" w:rsidRDefault="008C1183" w:rsidP="009F5CB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56043">
              <w:rPr>
                <w:rFonts w:ascii="Times New Roman" w:eastAsia="Calibri" w:hAnsi="Times New Roman" w:cs="Times New Roman"/>
                <w:color w:val="auto"/>
                <w:lang w:bidi="ar-SA"/>
              </w:rPr>
              <w:t>Поиск актуальной информации на сайте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B56043">
              <w:rPr>
                <w:rFonts w:ascii="Times New Roman" w:eastAsia="Calibri" w:hAnsi="Times New Roman" w:cs="Times New Roman"/>
                <w:color w:val="auto"/>
                <w:lang w:bidi="ar-SA"/>
              </w:rPr>
              <w:t>Пенсионного фонда РФ, а также других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B56043">
              <w:rPr>
                <w:rFonts w:ascii="Times New Roman" w:eastAsia="Calibri" w:hAnsi="Times New Roman" w:cs="Times New Roman"/>
                <w:color w:val="auto"/>
                <w:lang w:bidi="ar-SA"/>
              </w:rPr>
              <w:t>ресурсах</w:t>
            </w:r>
          </w:p>
        </w:tc>
        <w:tc>
          <w:tcPr>
            <w:tcW w:w="992" w:type="dxa"/>
            <w:shd w:val="clear" w:color="auto" w:fill="auto"/>
          </w:tcPr>
          <w:p w:rsidR="008C1183" w:rsidRPr="008C1183" w:rsidRDefault="008C1183" w:rsidP="00A206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20.05</w:t>
            </w:r>
          </w:p>
        </w:tc>
        <w:tc>
          <w:tcPr>
            <w:tcW w:w="1055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8C1183" w:rsidRPr="00EB2D8E" w:rsidRDefault="008C1183" w:rsidP="002C04C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B2D8E" w:rsidRPr="00B56043" w:rsidRDefault="00EB2D8E" w:rsidP="00B56043">
      <w:pPr>
        <w:ind w:firstLine="426"/>
        <w:jc w:val="both"/>
        <w:rPr>
          <w:rFonts w:ascii="Times New Roman" w:hAnsi="Times New Roman" w:cs="Times New Roman"/>
          <w:lang w:val="en-US"/>
        </w:rPr>
      </w:pPr>
    </w:p>
    <w:sectPr w:rsidR="00EB2D8E" w:rsidRPr="00B56043" w:rsidSect="002C04CE">
      <w:footerReference w:type="default" r:id="rId11"/>
      <w:pgSz w:w="11907" w:h="16839" w:code="9"/>
      <w:pgMar w:top="426" w:right="992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57" w:rsidRDefault="00D62657">
      <w:r>
        <w:separator/>
      </w:r>
    </w:p>
  </w:endnote>
  <w:endnote w:type="continuationSeparator" w:id="0">
    <w:p w:rsidR="00D62657" w:rsidRDefault="00D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DC" w:rsidRDefault="004D1ED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57" w:rsidRDefault="00D62657"/>
  </w:footnote>
  <w:footnote w:type="continuationSeparator" w:id="0">
    <w:p w:rsidR="00D62657" w:rsidRDefault="00D626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AC942BAE"/>
    <w:lvl w:ilvl="0" w:tplc="2DBE377E">
      <w:start w:val="4"/>
      <w:numFmt w:val="decimal"/>
      <w:lvlText w:val="%1."/>
      <w:lvlJc w:val="left"/>
      <w:pPr>
        <w:ind w:left="0" w:firstLine="0"/>
      </w:pPr>
    </w:lvl>
    <w:lvl w:ilvl="1" w:tplc="2FCABEA4">
      <w:numFmt w:val="decimal"/>
      <w:lvlText w:val=""/>
      <w:lvlJc w:val="left"/>
      <w:pPr>
        <w:ind w:left="0" w:firstLine="0"/>
      </w:pPr>
    </w:lvl>
    <w:lvl w:ilvl="2" w:tplc="25AA5BCE">
      <w:numFmt w:val="decimal"/>
      <w:lvlText w:val=""/>
      <w:lvlJc w:val="left"/>
      <w:pPr>
        <w:ind w:left="0" w:firstLine="0"/>
      </w:pPr>
    </w:lvl>
    <w:lvl w:ilvl="3" w:tplc="827AF026">
      <w:numFmt w:val="decimal"/>
      <w:lvlText w:val=""/>
      <w:lvlJc w:val="left"/>
      <w:pPr>
        <w:ind w:left="0" w:firstLine="0"/>
      </w:pPr>
    </w:lvl>
    <w:lvl w:ilvl="4" w:tplc="6B841CEA">
      <w:numFmt w:val="decimal"/>
      <w:lvlText w:val=""/>
      <w:lvlJc w:val="left"/>
      <w:pPr>
        <w:ind w:left="0" w:firstLine="0"/>
      </w:pPr>
    </w:lvl>
    <w:lvl w:ilvl="5" w:tplc="8C04F98E">
      <w:numFmt w:val="decimal"/>
      <w:lvlText w:val=""/>
      <w:lvlJc w:val="left"/>
      <w:pPr>
        <w:ind w:left="0" w:firstLine="0"/>
      </w:pPr>
    </w:lvl>
    <w:lvl w:ilvl="6" w:tplc="535A2E44">
      <w:numFmt w:val="decimal"/>
      <w:lvlText w:val=""/>
      <w:lvlJc w:val="left"/>
      <w:pPr>
        <w:ind w:left="0" w:firstLine="0"/>
      </w:pPr>
    </w:lvl>
    <w:lvl w:ilvl="7" w:tplc="4AB2F442">
      <w:numFmt w:val="decimal"/>
      <w:lvlText w:val=""/>
      <w:lvlJc w:val="left"/>
      <w:pPr>
        <w:ind w:left="0" w:firstLine="0"/>
      </w:pPr>
    </w:lvl>
    <w:lvl w:ilvl="8" w:tplc="18107B46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E8CEBF42"/>
    <w:lvl w:ilvl="0" w:tplc="C2721DDC">
      <w:start w:val="3"/>
      <w:numFmt w:val="decimal"/>
      <w:lvlText w:val="%1."/>
      <w:lvlJc w:val="left"/>
      <w:pPr>
        <w:ind w:left="0" w:firstLine="0"/>
      </w:pPr>
    </w:lvl>
    <w:lvl w:ilvl="1" w:tplc="F18E86AA">
      <w:start w:val="1"/>
      <w:numFmt w:val="bullet"/>
      <w:lvlText w:val="к"/>
      <w:lvlJc w:val="left"/>
      <w:pPr>
        <w:ind w:left="0" w:firstLine="0"/>
      </w:pPr>
    </w:lvl>
    <w:lvl w:ilvl="2" w:tplc="91062A8A">
      <w:numFmt w:val="decimal"/>
      <w:lvlText w:val=""/>
      <w:lvlJc w:val="left"/>
      <w:pPr>
        <w:ind w:left="0" w:firstLine="0"/>
      </w:pPr>
    </w:lvl>
    <w:lvl w:ilvl="3" w:tplc="43826198">
      <w:numFmt w:val="decimal"/>
      <w:lvlText w:val=""/>
      <w:lvlJc w:val="left"/>
      <w:pPr>
        <w:ind w:left="0" w:firstLine="0"/>
      </w:pPr>
    </w:lvl>
    <w:lvl w:ilvl="4" w:tplc="64885072">
      <w:numFmt w:val="decimal"/>
      <w:lvlText w:val=""/>
      <w:lvlJc w:val="left"/>
      <w:pPr>
        <w:ind w:left="0" w:firstLine="0"/>
      </w:pPr>
    </w:lvl>
    <w:lvl w:ilvl="5" w:tplc="9814BB4C">
      <w:numFmt w:val="decimal"/>
      <w:lvlText w:val=""/>
      <w:lvlJc w:val="left"/>
      <w:pPr>
        <w:ind w:left="0" w:firstLine="0"/>
      </w:pPr>
    </w:lvl>
    <w:lvl w:ilvl="6" w:tplc="0AACB29C">
      <w:numFmt w:val="decimal"/>
      <w:lvlText w:val=""/>
      <w:lvlJc w:val="left"/>
      <w:pPr>
        <w:ind w:left="0" w:firstLine="0"/>
      </w:pPr>
    </w:lvl>
    <w:lvl w:ilvl="7" w:tplc="78CC99DC">
      <w:numFmt w:val="decimal"/>
      <w:lvlText w:val=""/>
      <w:lvlJc w:val="left"/>
      <w:pPr>
        <w:ind w:left="0" w:firstLine="0"/>
      </w:pPr>
    </w:lvl>
    <w:lvl w:ilvl="8" w:tplc="3288037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48EAC7EE"/>
    <w:lvl w:ilvl="0" w:tplc="8B2E0C96">
      <w:start w:val="3"/>
      <w:numFmt w:val="decimal"/>
      <w:lvlText w:val="%1."/>
      <w:lvlJc w:val="left"/>
      <w:pPr>
        <w:ind w:left="0" w:firstLine="0"/>
      </w:pPr>
    </w:lvl>
    <w:lvl w:ilvl="1" w:tplc="38A6A03C">
      <w:numFmt w:val="decimal"/>
      <w:lvlText w:val=""/>
      <w:lvlJc w:val="left"/>
      <w:pPr>
        <w:ind w:left="0" w:firstLine="0"/>
      </w:pPr>
    </w:lvl>
    <w:lvl w:ilvl="2" w:tplc="BBCACA92">
      <w:numFmt w:val="decimal"/>
      <w:lvlText w:val=""/>
      <w:lvlJc w:val="left"/>
      <w:pPr>
        <w:ind w:left="0" w:firstLine="0"/>
      </w:pPr>
    </w:lvl>
    <w:lvl w:ilvl="3" w:tplc="F8E8A018">
      <w:numFmt w:val="decimal"/>
      <w:lvlText w:val=""/>
      <w:lvlJc w:val="left"/>
      <w:pPr>
        <w:ind w:left="0" w:firstLine="0"/>
      </w:pPr>
    </w:lvl>
    <w:lvl w:ilvl="4" w:tplc="282C725C">
      <w:numFmt w:val="decimal"/>
      <w:lvlText w:val=""/>
      <w:lvlJc w:val="left"/>
      <w:pPr>
        <w:ind w:left="0" w:firstLine="0"/>
      </w:pPr>
    </w:lvl>
    <w:lvl w:ilvl="5" w:tplc="D862C690">
      <w:numFmt w:val="decimal"/>
      <w:lvlText w:val=""/>
      <w:lvlJc w:val="left"/>
      <w:pPr>
        <w:ind w:left="0" w:firstLine="0"/>
      </w:pPr>
    </w:lvl>
    <w:lvl w:ilvl="6" w:tplc="0F22F94A">
      <w:numFmt w:val="decimal"/>
      <w:lvlText w:val=""/>
      <w:lvlJc w:val="left"/>
      <w:pPr>
        <w:ind w:left="0" w:firstLine="0"/>
      </w:pPr>
    </w:lvl>
    <w:lvl w:ilvl="7" w:tplc="2662F05C">
      <w:numFmt w:val="decimal"/>
      <w:lvlText w:val=""/>
      <w:lvlJc w:val="left"/>
      <w:pPr>
        <w:ind w:left="0" w:firstLine="0"/>
      </w:pPr>
    </w:lvl>
    <w:lvl w:ilvl="8" w:tplc="B4743562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3A58B668"/>
    <w:lvl w:ilvl="0" w:tplc="24A8BFF0">
      <w:start w:val="1"/>
      <w:numFmt w:val="bullet"/>
      <w:lvlText w:val="с"/>
      <w:lvlJc w:val="left"/>
      <w:pPr>
        <w:ind w:left="0" w:firstLine="0"/>
      </w:pPr>
    </w:lvl>
    <w:lvl w:ilvl="1" w:tplc="CE985C52">
      <w:numFmt w:val="decimal"/>
      <w:lvlText w:val=""/>
      <w:lvlJc w:val="left"/>
      <w:pPr>
        <w:ind w:left="0" w:firstLine="0"/>
      </w:pPr>
    </w:lvl>
    <w:lvl w:ilvl="2" w:tplc="362CA69C">
      <w:numFmt w:val="decimal"/>
      <w:lvlText w:val=""/>
      <w:lvlJc w:val="left"/>
      <w:pPr>
        <w:ind w:left="0" w:firstLine="0"/>
      </w:pPr>
    </w:lvl>
    <w:lvl w:ilvl="3" w:tplc="5A5C0AA6">
      <w:numFmt w:val="decimal"/>
      <w:lvlText w:val=""/>
      <w:lvlJc w:val="left"/>
      <w:pPr>
        <w:ind w:left="0" w:firstLine="0"/>
      </w:pPr>
    </w:lvl>
    <w:lvl w:ilvl="4" w:tplc="D74625E6">
      <w:numFmt w:val="decimal"/>
      <w:lvlText w:val=""/>
      <w:lvlJc w:val="left"/>
      <w:pPr>
        <w:ind w:left="0" w:firstLine="0"/>
      </w:pPr>
    </w:lvl>
    <w:lvl w:ilvl="5" w:tplc="576C32A6">
      <w:numFmt w:val="decimal"/>
      <w:lvlText w:val=""/>
      <w:lvlJc w:val="left"/>
      <w:pPr>
        <w:ind w:left="0" w:firstLine="0"/>
      </w:pPr>
    </w:lvl>
    <w:lvl w:ilvl="6" w:tplc="5F04A9F6">
      <w:numFmt w:val="decimal"/>
      <w:lvlText w:val=""/>
      <w:lvlJc w:val="left"/>
      <w:pPr>
        <w:ind w:left="0" w:firstLine="0"/>
      </w:pPr>
    </w:lvl>
    <w:lvl w:ilvl="7" w:tplc="C11CCBB4">
      <w:numFmt w:val="decimal"/>
      <w:lvlText w:val=""/>
      <w:lvlJc w:val="left"/>
      <w:pPr>
        <w:ind w:left="0" w:firstLine="0"/>
      </w:pPr>
    </w:lvl>
    <w:lvl w:ilvl="8" w:tplc="4C640A18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23746A28"/>
    <w:lvl w:ilvl="0" w:tplc="FB6AD856">
      <w:start w:val="4"/>
      <w:numFmt w:val="decimal"/>
      <w:lvlText w:val="%1."/>
      <w:lvlJc w:val="left"/>
      <w:pPr>
        <w:ind w:left="0" w:firstLine="0"/>
      </w:pPr>
    </w:lvl>
    <w:lvl w:ilvl="1" w:tplc="1354C6E0">
      <w:numFmt w:val="decimal"/>
      <w:lvlText w:val=""/>
      <w:lvlJc w:val="left"/>
      <w:pPr>
        <w:ind w:left="0" w:firstLine="0"/>
      </w:pPr>
    </w:lvl>
    <w:lvl w:ilvl="2" w:tplc="2DE86C56">
      <w:numFmt w:val="decimal"/>
      <w:lvlText w:val=""/>
      <w:lvlJc w:val="left"/>
      <w:pPr>
        <w:ind w:left="0" w:firstLine="0"/>
      </w:pPr>
    </w:lvl>
    <w:lvl w:ilvl="3" w:tplc="78886872">
      <w:numFmt w:val="decimal"/>
      <w:lvlText w:val=""/>
      <w:lvlJc w:val="left"/>
      <w:pPr>
        <w:ind w:left="0" w:firstLine="0"/>
      </w:pPr>
    </w:lvl>
    <w:lvl w:ilvl="4" w:tplc="52BC5D40">
      <w:numFmt w:val="decimal"/>
      <w:lvlText w:val=""/>
      <w:lvlJc w:val="left"/>
      <w:pPr>
        <w:ind w:left="0" w:firstLine="0"/>
      </w:pPr>
    </w:lvl>
    <w:lvl w:ilvl="5" w:tplc="DA384DE4">
      <w:numFmt w:val="decimal"/>
      <w:lvlText w:val=""/>
      <w:lvlJc w:val="left"/>
      <w:pPr>
        <w:ind w:left="0" w:firstLine="0"/>
      </w:pPr>
    </w:lvl>
    <w:lvl w:ilvl="6" w:tplc="9B7C7038">
      <w:numFmt w:val="decimal"/>
      <w:lvlText w:val=""/>
      <w:lvlJc w:val="left"/>
      <w:pPr>
        <w:ind w:left="0" w:firstLine="0"/>
      </w:pPr>
    </w:lvl>
    <w:lvl w:ilvl="7" w:tplc="B20035DC">
      <w:numFmt w:val="decimal"/>
      <w:lvlText w:val=""/>
      <w:lvlJc w:val="left"/>
      <w:pPr>
        <w:ind w:left="0" w:firstLine="0"/>
      </w:pPr>
    </w:lvl>
    <w:lvl w:ilvl="8" w:tplc="B17084CE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E098B206"/>
    <w:lvl w:ilvl="0" w:tplc="40AED580">
      <w:start w:val="1"/>
      <w:numFmt w:val="decimal"/>
      <w:lvlText w:val="%1."/>
      <w:lvlJc w:val="left"/>
      <w:pPr>
        <w:ind w:left="0" w:firstLine="0"/>
      </w:pPr>
    </w:lvl>
    <w:lvl w:ilvl="1" w:tplc="23FCE6FA">
      <w:numFmt w:val="decimal"/>
      <w:lvlText w:val=""/>
      <w:lvlJc w:val="left"/>
      <w:pPr>
        <w:ind w:left="0" w:firstLine="0"/>
      </w:pPr>
    </w:lvl>
    <w:lvl w:ilvl="2" w:tplc="CC00D0E4">
      <w:numFmt w:val="decimal"/>
      <w:lvlText w:val=""/>
      <w:lvlJc w:val="left"/>
      <w:pPr>
        <w:ind w:left="0" w:firstLine="0"/>
      </w:pPr>
    </w:lvl>
    <w:lvl w:ilvl="3" w:tplc="3FC86AD2">
      <w:numFmt w:val="decimal"/>
      <w:lvlText w:val=""/>
      <w:lvlJc w:val="left"/>
      <w:pPr>
        <w:ind w:left="0" w:firstLine="0"/>
      </w:pPr>
    </w:lvl>
    <w:lvl w:ilvl="4" w:tplc="9152935C">
      <w:numFmt w:val="decimal"/>
      <w:lvlText w:val=""/>
      <w:lvlJc w:val="left"/>
      <w:pPr>
        <w:ind w:left="0" w:firstLine="0"/>
      </w:pPr>
    </w:lvl>
    <w:lvl w:ilvl="5" w:tplc="A0BCDA86">
      <w:numFmt w:val="decimal"/>
      <w:lvlText w:val=""/>
      <w:lvlJc w:val="left"/>
      <w:pPr>
        <w:ind w:left="0" w:firstLine="0"/>
      </w:pPr>
    </w:lvl>
    <w:lvl w:ilvl="6" w:tplc="BF141682">
      <w:numFmt w:val="decimal"/>
      <w:lvlText w:val=""/>
      <w:lvlJc w:val="left"/>
      <w:pPr>
        <w:ind w:left="0" w:firstLine="0"/>
      </w:pPr>
    </w:lvl>
    <w:lvl w:ilvl="7" w:tplc="CA7A59C2">
      <w:numFmt w:val="decimal"/>
      <w:lvlText w:val=""/>
      <w:lvlJc w:val="left"/>
      <w:pPr>
        <w:ind w:left="0" w:firstLine="0"/>
      </w:pPr>
    </w:lvl>
    <w:lvl w:ilvl="8" w:tplc="F7AE6FEA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2110B5FE"/>
    <w:lvl w:ilvl="0" w:tplc="64408A5E">
      <w:start w:val="2"/>
      <w:numFmt w:val="decimal"/>
      <w:lvlText w:val="%1."/>
      <w:lvlJc w:val="left"/>
      <w:pPr>
        <w:ind w:left="0" w:firstLine="0"/>
      </w:pPr>
    </w:lvl>
    <w:lvl w:ilvl="1" w:tplc="CD9C7A4C">
      <w:start w:val="1"/>
      <w:numFmt w:val="bullet"/>
      <w:lvlText w:val="в"/>
      <w:lvlJc w:val="left"/>
      <w:pPr>
        <w:ind w:left="0" w:firstLine="0"/>
      </w:pPr>
    </w:lvl>
    <w:lvl w:ilvl="2" w:tplc="3F8ADCC8">
      <w:numFmt w:val="decimal"/>
      <w:lvlText w:val=""/>
      <w:lvlJc w:val="left"/>
      <w:pPr>
        <w:ind w:left="0" w:firstLine="0"/>
      </w:pPr>
    </w:lvl>
    <w:lvl w:ilvl="3" w:tplc="8046960A">
      <w:numFmt w:val="decimal"/>
      <w:lvlText w:val=""/>
      <w:lvlJc w:val="left"/>
      <w:pPr>
        <w:ind w:left="0" w:firstLine="0"/>
      </w:pPr>
    </w:lvl>
    <w:lvl w:ilvl="4" w:tplc="6890F9EE">
      <w:numFmt w:val="decimal"/>
      <w:lvlText w:val=""/>
      <w:lvlJc w:val="left"/>
      <w:pPr>
        <w:ind w:left="0" w:firstLine="0"/>
      </w:pPr>
    </w:lvl>
    <w:lvl w:ilvl="5" w:tplc="DA30E1C0">
      <w:numFmt w:val="decimal"/>
      <w:lvlText w:val=""/>
      <w:lvlJc w:val="left"/>
      <w:pPr>
        <w:ind w:left="0" w:firstLine="0"/>
      </w:pPr>
    </w:lvl>
    <w:lvl w:ilvl="6" w:tplc="48123846">
      <w:numFmt w:val="decimal"/>
      <w:lvlText w:val=""/>
      <w:lvlJc w:val="left"/>
      <w:pPr>
        <w:ind w:left="0" w:firstLine="0"/>
      </w:pPr>
    </w:lvl>
    <w:lvl w:ilvl="7" w:tplc="4704D7F4">
      <w:numFmt w:val="decimal"/>
      <w:lvlText w:val=""/>
      <w:lvlJc w:val="left"/>
      <w:pPr>
        <w:ind w:left="0" w:firstLine="0"/>
      </w:pPr>
    </w:lvl>
    <w:lvl w:ilvl="8" w:tplc="5EA8AC16">
      <w:numFmt w:val="decimal"/>
      <w:lvlText w:val=""/>
      <w:lvlJc w:val="left"/>
      <w:pPr>
        <w:ind w:left="0" w:firstLine="0"/>
      </w:pPr>
    </w:lvl>
  </w:abstractNum>
  <w:abstractNum w:abstractNumId="7">
    <w:nsid w:val="00CD5964"/>
    <w:multiLevelType w:val="hybridMultilevel"/>
    <w:tmpl w:val="171847C8"/>
    <w:lvl w:ilvl="0" w:tplc="DB9A1B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2A10AF8"/>
    <w:multiLevelType w:val="hybridMultilevel"/>
    <w:tmpl w:val="02AE332E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6F16D4E"/>
    <w:multiLevelType w:val="hybridMultilevel"/>
    <w:tmpl w:val="2154EB3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A61144"/>
    <w:multiLevelType w:val="multilevel"/>
    <w:tmpl w:val="092898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38A46B2"/>
    <w:multiLevelType w:val="hybridMultilevel"/>
    <w:tmpl w:val="B4906C4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F01359"/>
    <w:multiLevelType w:val="multilevel"/>
    <w:tmpl w:val="CEA6317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118FF"/>
    <w:multiLevelType w:val="hybridMultilevel"/>
    <w:tmpl w:val="341A4E2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AE019C"/>
    <w:multiLevelType w:val="multilevel"/>
    <w:tmpl w:val="F1E69B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67CE8"/>
    <w:multiLevelType w:val="hybridMultilevel"/>
    <w:tmpl w:val="429E0FC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746EFE"/>
    <w:multiLevelType w:val="hybridMultilevel"/>
    <w:tmpl w:val="AE68554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3529C4"/>
    <w:multiLevelType w:val="hybridMultilevel"/>
    <w:tmpl w:val="EA5ED6A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4DC07FE"/>
    <w:multiLevelType w:val="hybridMultilevel"/>
    <w:tmpl w:val="765E4F46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046E84"/>
    <w:multiLevelType w:val="multilevel"/>
    <w:tmpl w:val="1A3EFE8E"/>
    <w:lvl w:ilvl="0">
      <w:start w:val="1"/>
      <w:numFmt w:val="bullet"/>
      <w:lvlText w:val="—"/>
      <w:lvlJc w:val="left"/>
      <w:pPr>
        <w:ind w:left="0" w:firstLine="0"/>
      </w:pPr>
      <w:rPr>
        <w:rFonts w:ascii="Candara" w:eastAsia="Candara" w:hAnsi="Candara" w:cs="Candara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2A0"/>
    <w:multiLevelType w:val="hybridMultilevel"/>
    <w:tmpl w:val="A726FCC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B93BA8"/>
    <w:multiLevelType w:val="multilevel"/>
    <w:tmpl w:val="B6B491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765B0"/>
    <w:multiLevelType w:val="hybridMultilevel"/>
    <w:tmpl w:val="9D66EB46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B57E2F"/>
    <w:multiLevelType w:val="hybridMultilevel"/>
    <w:tmpl w:val="638A30D6"/>
    <w:lvl w:ilvl="0" w:tplc="DB9A1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524CC"/>
    <w:multiLevelType w:val="hybridMultilevel"/>
    <w:tmpl w:val="BBB498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AF0B70"/>
    <w:multiLevelType w:val="hybridMultilevel"/>
    <w:tmpl w:val="176CD4A4"/>
    <w:lvl w:ilvl="0" w:tplc="DB9A1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E0C26"/>
    <w:multiLevelType w:val="hybridMultilevel"/>
    <w:tmpl w:val="8C2297CC"/>
    <w:lvl w:ilvl="0" w:tplc="DB9A1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7402"/>
    <w:multiLevelType w:val="hybridMultilevel"/>
    <w:tmpl w:val="A196A6B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2440C67"/>
    <w:multiLevelType w:val="hybridMultilevel"/>
    <w:tmpl w:val="DC2C1BB4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9E1E5C"/>
    <w:multiLevelType w:val="hybridMultilevel"/>
    <w:tmpl w:val="CFEE720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A168E2"/>
    <w:multiLevelType w:val="hybridMultilevel"/>
    <w:tmpl w:val="4844E2D6"/>
    <w:lvl w:ilvl="0" w:tplc="FF8A0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9329B"/>
    <w:multiLevelType w:val="hybridMultilevel"/>
    <w:tmpl w:val="297260B0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8851F5"/>
    <w:multiLevelType w:val="hybridMultilevel"/>
    <w:tmpl w:val="B8089940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9"/>
  </w:num>
  <w:num w:numId="5">
    <w:abstractNumId w:val="10"/>
  </w:num>
  <w:num w:numId="6">
    <w:abstractNumId w:val="8"/>
  </w:num>
  <w:num w:numId="7">
    <w:abstractNumId w:val="30"/>
  </w:num>
  <w:num w:numId="8">
    <w:abstractNumId w:val="28"/>
  </w:num>
  <w:num w:numId="9">
    <w:abstractNumId w:val="33"/>
  </w:num>
  <w:num w:numId="10">
    <w:abstractNumId w:val="16"/>
  </w:num>
  <w:num w:numId="11">
    <w:abstractNumId w:val="13"/>
  </w:num>
  <w:num w:numId="12">
    <w:abstractNumId w:val="32"/>
  </w:num>
  <w:num w:numId="13">
    <w:abstractNumId w:val="15"/>
  </w:num>
  <w:num w:numId="14">
    <w:abstractNumId w:val="29"/>
  </w:num>
  <w:num w:numId="15">
    <w:abstractNumId w:val="18"/>
  </w:num>
  <w:num w:numId="16">
    <w:abstractNumId w:val="9"/>
  </w:num>
  <w:num w:numId="17">
    <w:abstractNumId w:val="11"/>
  </w:num>
  <w:num w:numId="18">
    <w:abstractNumId w:val="23"/>
  </w:num>
  <w:num w:numId="19">
    <w:abstractNumId w:val="21"/>
  </w:num>
  <w:num w:numId="20">
    <w:abstractNumId w:val="20"/>
  </w:num>
  <w:num w:numId="21">
    <w:abstractNumId w:val="25"/>
  </w:num>
  <w:num w:numId="22">
    <w:abstractNumId w:val="17"/>
  </w:num>
  <w:num w:numId="23">
    <w:abstractNumId w:val="31"/>
  </w:num>
  <w:num w:numId="2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7"/>
  </w:num>
  <w:num w:numId="32">
    <w:abstractNumId w:val="24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6"/>
    <w:rsid w:val="00000ECA"/>
    <w:rsid w:val="00024090"/>
    <w:rsid w:val="00054E4F"/>
    <w:rsid w:val="000718FE"/>
    <w:rsid w:val="001222C2"/>
    <w:rsid w:val="00135B50"/>
    <w:rsid w:val="00211253"/>
    <w:rsid w:val="00246003"/>
    <w:rsid w:val="00267441"/>
    <w:rsid w:val="00284278"/>
    <w:rsid w:val="002C00AA"/>
    <w:rsid w:val="002C04CE"/>
    <w:rsid w:val="0033338A"/>
    <w:rsid w:val="003B3039"/>
    <w:rsid w:val="003C4637"/>
    <w:rsid w:val="004023E3"/>
    <w:rsid w:val="00426C03"/>
    <w:rsid w:val="004540C8"/>
    <w:rsid w:val="0047613E"/>
    <w:rsid w:val="004774AE"/>
    <w:rsid w:val="00480DFE"/>
    <w:rsid w:val="004D1EDC"/>
    <w:rsid w:val="00516512"/>
    <w:rsid w:val="00544295"/>
    <w:rsid w:val="00555F40"/>
    <w:rsid w:val="00560A0C"/>
    <w:rsid w:val="005F08F0"/>
    <w:rsid w:val="00655B3B"/>
    <w:rsid w:val="006D289C"/>
    <w:rsid w:val="006E0239"/>
    <w:rsid w:val="00713E80"/>
    <w:rsid w:val="007743EA"/>
    <w:rsid w:val="007B77EB"/>
    <w:rsid w:val="00812251"/>
    <w:rsid w:val="008152CC"/>
    <w:rsid w:val="008A7240"/>
    <w:rsid w:val="008C1183"/>
    <w:rsid w:val="00901188"/>
    <w:rsid w:val="0091282F"/>
    <w:rsid w:val="00945D60"/>
    <w:rsid w:val="00963D4A"/>
    <w:rsid w:val="00983078"/>
    <w:rsid w:val="009B45C0"/>
    <w:rsid w:val="009C7462"/>
    <w:rsid w:val="00A32F63"/>
    <w:rsid w:val="00A73637"/>
    <w:rsid w:val="00AA2692"/>
    <w:rsid w:val="00AB0DB8"/>
    <w:rsid w:val="00AD07A0"/>
    <w:rsid w:val="00AD41CA"/>
    <w:rsid w:val="00AF0AA0"/>
    <w:rsid w:val="00B45C66"/>
    <w:rsid w:val="00B56043"/>
    <w:rsid w:val="00B56C5A"/>
    <w:rsid w:val="00BB04F9"/>
    <w:rsid w:val="00BD4B0D"/>
    <w:rsid w:val="00CB458C"/>
    <w:rsid w:val="00D62657"/>
    <w:rsid w:val="00DC3475"/>
    <w:rsid w:val="00DC6406"/>
    <w:rsid w:val="00E570BE"/>
    <w:rsid w:val="00E70A71"/>
    <w:rsid w:val="00EB2D8E"/>
    <w:rsid w:val="00ED2A9D"/>
    <w:rsid w:val="00ED689E"/>
    <w:rsid w:val="00F11444"/>
    <w:rsid w:val="00F163F9"/>
    <w:rsid w:val="00F52116"/>
    <w:rsid w:val="00FA0C14"/>
    <w:rsid w:val="00FA45A9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egoeUIBold">
    <w:name w:val="Body text (2) + Segoe UI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PalatinoLinotypeBold">
    <w:name w:val="Body text (2) + Palatino Linotype;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PalatinoLinotypeBoldNotItalic">
    <w:name w:val="Body text (3) + Palatino Linotype;Bold;Not Italic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Italic">
    <w:name w:val="Body text (3) + Not Italic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GeorgiaNotBold">
    <w:name w:val="Heading #3 + Georgia;Not Bold"/>
    <w:basedOn w:val="Heading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SegoeUI11ptNotItalic">
    <w:name w:val="Body text (3) + Segoe UI;11 pt;Not Italic"/>
    <w:basedOn w:val="Body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SegoeUIBoldNotItalic">
    <w:name w:val="Body text (3) + Segoe UI;Bold;Not Italic"/>
    <w:basedOn w:val="Body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PalatinoLinotype9ptBold">
    <w:name w:val="Body text (3) + Palatino Linotype;9 pt;Bold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17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226" w:lineRule="exact"/>
      <w:ind w:hanging="340"/>
    </w:pPr>
    <w:rPr>
      <w:rFonts w:ascii="Georgia" w:eastAsia="Georgia" w:hAnsi="Georgia" w:cs="Georgia"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60" w:line="0" w:lineRule="atLeast"/>
      <w:outlineLvl w:val="2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6" w:lineRule="exact"/>
      <w:ind w:hanging="340"/>
      <w:jc w:val="both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26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Georgia" w:eastAsia="Georgia" w:hAnsi="Georgia" w:cs="Georgia"/>
      <w:b/>
      <w:bCs/>
    </w:rPr>
  </w:style>
  <w:style w:type="paragraph" w:styleId="a4">
    <w:name w:val="List Paragraph"/>
    <w:basedOn w:val="a"/>
    <w:uiPriority w:val="34"/>
    <w:qFormat/>
    <w:rsid w:val="009128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460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6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003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04F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egoeUIBold">
    <w:name w:val="Body text (2) + Segoe UI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PalatinoLinotypeBold">
    <w:name w:val="Body text (2) + Palatino Linotype;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PalatinoLinotypeBoldNotItalic">
    <w:name w:val="Body text (3) + Palatino Linotype;Bold;Not Italic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Italic">
    <w:name w:val="Body text (3) + Not Italic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GeorgiaNotBold">
    <w:name w:val="Heading #3 + Georgia;Not Bold"/>
    <w:basedOn w:val="Heading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SegoeUI11ptNotItalic">
    <w:name w:val="Body text (3) + Segoe UI;11 pt;Not Italic"/>
    <w:basedOn w:val="Body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SegoeUIBoldNotItalic">
    <w:name w:val="Body text (3) + Segoe UI;Bold;Not Italic"/>
    <w:basedOn w:val="Body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PalatinoLinotype9ptBold">
    <w:name w:val="Body text (3) + Palatino Linotype;9 pt;Bold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17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226" w:lineRule="exact"/>
      <w:ind w:hanging="340"/>
    </w:pPr>
    <w:rPr>
      <w:rFonts w:ascii="Georgia" w:eastAsia="Georgia" w:hAnsi="Georgia" w:cs="Georgia"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60" w:line="0" w:lineRule="atLeast"/>
      <w:outlineLvl w:val="2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6" w:lineRule="exact"/>
      <w:ind w:hanging="340"/>
      <w:jc w:val="both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26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Georgia" w:eastAsia="Georgia" w:hAnsi="Georgia" w:cs="Georgia"/>
      <w:b/>
      <w:bCs/>
    </w:rPr>
  </w:style>
  <w:style w:type="paragraph" w:styleId="a4">
    <w:name w:val="List Paragraph"/>
    <w:basedOn w:val="a"/>
    <w:uiPriority w:val="34"/>
    <w:qFormat/>
    <w:rsid w:val="009128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460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6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003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04F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AD0D-E04F-4901-8247-D5122B0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ocr_ef3f6d3ce7e23b3ae0eae4168f7c7f5d</vt:lpstr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ocr_ef3f6d3ce7e23b3ae0eae4168f7c7f5d</dc:title>
  <dc:creator>Верхогляд</dc:creator>
  <cp:lastModifiedBy>Верхогляд</cp:lastModifiedBy>
  <cp:revision>2</cp:revision>
  <cp:lastPrinted>2021-09-27T08:00:00Z</cp:lastPrinted>
  <dcterms:created xsi:type="dcterms:W3CDTF">2023-09-18T13:46:00Z</dcterms:created>
  <dcterms:modified xsi:type="dcterms:W3CDTF">2023-09-18T13:46:00Z</dcterms:modified>
</cp:coreProperties>
</file>